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A3" w:rsidRPr="00AA3D14" w:rsidRDefault="004C63A3" w:rsidP="004C63A3">
      <w:pPr>
        <w:tabs>
          <w:tab w:val="left" w:pos="1425"/>
        </w:tabs>
        <w:spacing w:line="280" w:lineRule="exact"/>
        <w:ind w:left="-540"/>
        <w:rPr>
          <w:rFonts w:ascii="Arial" w:hAnsi="Arial" w:cs="Arial"/>
          <w:b/>
          <w:color w:val="3366FF"/>
          <w:sz w:val="20"/>
          <w:szCs w:val="20"/>
        </w:rPr>
      </w:pPr>
      <w:r w:rsidRPr="00AA3D14">
        <w:rPr>
          <w:rFonts w:ascii="Arial" w:hAnsi="Arial" w:cs="Arial"/>
          <w:b/>
          <w:noProof/>
          <w:color w:val="3366FF"/>
          <w:sz w:val="20"/>
          <w:szCs w:val="20"/>
        </w:rPr>
        <w:drawing>
          <wp:anchor distT="0" distB="0" distL="114300" distR="114300" simplePos="0" relativeHeight="251659264" behindDoc="0" locked="0" layoutInCell="1" allowOverlap="1" wp14:anchorId="3C247ED6" wp14:editId="5F22A7D7">
            <wp:simplePos x="0" y="0"/>
            <wp:positionH relativeFrom="column">
              <wp:posOffset>-72692</wp:posOffset>
            </wp:positionH>
            <wp:positionV relativeFrom="paragraph">
              <wp:posOffset>-825057</wp:posOffset>
            </wp:positionV>
            <wp:extent cx="3098800" cy="1165225"/>
            <wp:effectExtent l="0" t="0" r="635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8800" cy="1165225"/>
                    </a:xfrm>
                    <a:prstGeom prst="rect">
                      <a:avLst/>
                    </a:prstGeom>
                    <a:noFill/>
                  </pic:spPr>
                </pic:pic>
              </a:graphicData>
            </a:graphic>
            <wp14:sizeRelH relativeFrom="page">
              <wp14:pctWidth>0</wp14:pctWidth>
            </wp14:sizeRelH>
            <wp14:sizeRelV relativeFrom="page">
              <wp14:pctHeight>0</wp14:pctHeight>
            </wp14:sizeRelV>
          </wp:anchor>
        </w:drawing>
      </w:r>
    </w:p>
    <w:p w:rsidR="004C63A3" w:rsidRPr="00AA3D14" w:rsidRDefault="004C63A3" w:rsidP="004C63A3">
      <w:pPr>
        <w:spacing w:line="280" w:lineRule="exact"/>
        <w:ind w:left="-540"/>
        <w:rPr>
          <w:rFonts w:ascii="Arial" w:hAnsi="Arial" w:cs="Arial"/>
          <w:b/>
          <w:color w:val="3366FF"/>
          <w:sz w:val="20"/>
          <w:szCs w:val="20"/>
        </w:rPr>
      </w:pPr>
    </w:p>
    <w:p w:rsidR="004C63A3" w:rsidRDefault="004C63A3" w:rsidP="004C63A3">
      <w:pPr>
        <w:rPr>
          <w:rFonts w:asciiTheme="minorHAnsi" w:hAnsiTheme="minorHAnsi" w:cstheme="minorHAnsi"/>
          <w:b/>
          <w:bCs/>
          <w:sz w:val="28"/>
          <w:szCs w:val="28"/>
        </w:rPr>
      </w:pPr>
      <w:bookmarkStart w:id="0" w:name="_Toc388003684"/>
    </w:p>
    <w:p w:rsidR="004C63A3" w:rsidRPr="00305EAF" w:rsidRDefault="004C63A3" w:rsidP="004C63A3">
      <w:pPr>
        <w:rPr>
          <w:rFonts w:asciiTheme="minorHAnsi" w:hAnsiTheme="minorHAnsi" w:cstheme="minorHAnsi"/>
          <w:bCs/>
          <w:i/>
          <w:sz w:val="22"/>
          <w:szCs w:val="22"/>
        </w:rPr>
      </w:pPr>
      <w:r w:rsidRPr="00305EAF">
        <w:rPr>
          <w:rFonts w:asciiTheme="minorHAnsi" w:hAnsiTheme="minorHAnsi" w:cstheme="minorHAnsi"/>
          <w:b/>
          <w:bCs/>
          <w:sz w:val="28"/>
          <w:szCs w:val="28"/>
        </w:rPr>
        <w:t>Taakspelgroepen vormen met Hart &amp; Ziel</w:t>
      </w:r>
      <w:r w:rsidRPr="00305EAF">
        <w:rPr>
          <w:rFonts w:asciiTheme="minorHAnsi" w:hAnsiTheme="minorHAnsi" w:cstheme="minorHAnsi"/>
          <w:b/>
          <w:bCs/>
          <w:sz w:val="22"/>
          <w:szCs w:val="22"/>
        </w:rPr>
        <w:br/>
      </w:r>
      <w:r w:rsidRPr="00305EAF">
        <w:rPr>
          <w:rFonts w:asciiTheme="minorHAnsi" w:hAnsiTheme="minorHAnsi" w:cstheme="minorHAnsi"/>
          <w:bCs/>
          <w:i/>
          <w:sz w:val="22"/>
          <w:szCs w:val="22"/>
        </w:rPr>
        <w:t xml:space="preserve">Thera Knopperts &amp; Lenneke van Tol </w:t>
      </w:r>
    </w:p>
    <w:p w:rsidR="004C63A3" w:rsidRDefault="004C63A3" w:rsidP="004C63A3">
      <w:pPr>
        <w:rPr>
          <w:rFonts w:asciiTheme="minorHAnsi" w:hAnsiTheme="minorHAnsi" w:cstheme="minorHAnsi"/>
          <w:b/>
          <w:bCs/>
          <w:i/>
          <w:sz w:val="22"/>
          <w:szCs w:val="22"/>
        </w:rPr>
      </w:pPr>
    </w:p>
    <w:p w:rsidR="004C63A3" w:rsidRDefault="004C63A3" w:rsidP="004C63A3">
      <w:pPr>
        <w:rPr>
          <w:rFonts w:asciiTheme="minorHAnsi" w:hAnsiTheme="minorHAnsi" w:cstheme="minorHAnsi"/>
          <w:b/>
          <w:bCs/>
          <w:i/>
          <w:sz w:val="22"/>
          <w:szCs w:val="22"/>
        </w:rPr>
      </w:pPr>
    </w:p>
    <w:p w:rsidR="004C63A3" w:rsidRPr="0037748E" w:rsidRDefault="004C63A3" w:rsidP="004C63A3">
      <w:pPr>
        <w:rPr>
          <w:rFonts w:asciiTheme="minorHAnsi" w:hAnsiTheme="minorHAnsi" w:cstheme="minorHAnsi"/>
          <w:b/>
          <w:bCs/>
          <w:i/>
          <w:sz w:val="22"/>
          <w:szCs w:val="22"/>
        </w:rPr>
      </w:pPr>
      <w:r>
        <w:rPr>
          <w:rFonts w:asciiTheme="minorHAnsi" w:hAnsiTheme="minorHAnsi" w:cstheme="minorHAnsi"/>
          <w:b/>
          <w:bCs/>
          <w:i/>
          <w:sz w:val="22"/>
          <w:szCs w:val="22"/>
        </w:rPr>
        <w:t>In schooljaar 2013-2014 is d</w:t>
      </w:r>
      <w:r w:rsidRPr="0037748E">
        <w:rPr>
          <w:rFonts w:asciiTheme="minorHAnsi" w:hAnsiTheme="minorHAnsi" w:cstheme="minorHAnsi"/>
          <w:b/>
          <w:bCs/>
          <w:i/>
          <w:sz w:val="22"/>
          <w:szCs w:val="22"/>
        </w:rPr>
        <w:t xml:space="preserve">e GGD Amsterdam </w:t>
      </w:r>
      <w:r>
        <w:rPr>
          <w:rFonts w:asciiTheme="minorHAnsi" w:hAnsiTheme="minorHAnsi" w:cstheme="minorHAnsi"/>
          <w:b/>
          <w:bCs/>
          <w:i/>
          <w:sz w:val="22"/>
          <w:szCs w:val="22"/>
        </w:rPr>
        <w:t>een onderzoek gestart om te kijken of</w:t>
      </w:r>
      <w:r w:rsidRPr="0037748E">
        <w:rPr>
          <w:rFonts w:asciiTheme="minorHAnsi" w:hAnsiTheme="minorHAnsi" w:cstheme="minorHAnsi"/>
          <w:b/>
          <w:bCs/>
          <w:i/>
          <w:sz w:val="22"/>
          <w:szCs w:val="22"/>
        </w:rPr>
        <w:t xml:space="preserve"> het mogelijk is om met leerlingvolgsysteem Hart &amp; Ziel Taakspelgroepen te vormen. Uit de resultaten komt naar voren dat de </w:t>
      </w:r>
      <w:proofErr w:type="spellStart"/>
      <w:r w:rsidRPr="0037748E">
        <w:rPr>
          <w:rFonts w:asciiTheme="minorHAnsi" w:hAnsiTheme="minorHAnsi" w:cstheme="minorHAnsi"/>
          <w:b/>
          <w:bCs/>
          <w:i/>
          <w:sz w:val="22"/>
          <w:szCs w:val="22"/>
        </w:rPr>
        <w:t>subschaal</w:t>
      </w:r>
      <w:proofErr w:type="spellEnd"/>
      <w:r w:rsidRPr="0037748E">
        <w:rPr>
          <w:rFonts w:asciiTheme="minorHAnsi" w:hAnsiTheme="minorHAnsi" w:cstheme="minorHAnsi"/>
          <w:b/>
          <w:bCs/>
          <w:i/>
          <w:sz w:val="22"/>
          <w:szCs w:val="22"/>
        </w:rPr>
        <w:t xml:space="preserve"> </w:t>
      </w:r>
      <w:r>
        <w:rPr>
          <w:rFonts w:asciiTheme="minorHAnsi" w:hAnsiTheme="minorHAnsi" w:cstheme="minorHAnsi"/>
          <w:b/>
          <w:bCs/>
          <w:i/>
          <w:sz w:val="22"/>
          <w:szCs w:val="22"/>
        </w:rPr>
        <w:t>‘</w:t>
      </w:r>
      <w:r w:rsidRPr="0037748E">
        <w:rPr>
          <w:rFonts w:asciiTheme="minorHAnsi" w:hAnsiTheme="minorHAnsi" w:cstheme="minorHAnsi"/>
          <w:b/>
          <w:bCs/>
          <w:i/>
          <w:sz w:val="22"/>
          <w:szCs w:val="22"/>
        </w:rPr>
        <w:t>hyperactiviteit</w:t>
      </w:r>
      <w:r>
        <w:rPr>
          <w:rFonts w:asciiTheme="minorHAnsi" w:hAnsiTheme="minorHAnsi" w:cstheme="minorHAnsi"/>
          <w:b/>
          <w:bCs/>
          <w:i/>
          <w:sz w:val="22"/>
          <w:szCs w:val="22"/>
        </w:rPr>
        <w:t>’</w:t>
      </w:r>
      <w:r w:rsidRPr="0037748E">
        <w:rPr>
          <w:rFonts w:asciiTheme="minorHAnsi" w:hAnsiTheme="minorHAnsi" w:cstheme="minorHAnsi"/>
          <w:b/>
          <w:bCs/>
          <w:i/>
          <w:sz w:val="22"/>
          <w:szCs w:val="22"/>
        </w:rPr>
        <w:t xml:space="preserve">  hiervoor het meest geschikt is.</w:t>
      </w:r>
    </w:p>
    <w:p w:rsidR="004C63A3" w:rsidRDefault="004C63A3" w:rsidP="004C63A3">
      <w:pPr>
        <w:rPr>
          <w:rFonts w:asciiTheme="minorHAnsi" w:hAnsiTheme="minorHAnsi" w:cstheme="minorHAnsi"/>
          <w:sz w:val="22"/>
          <w:szCs w:val="22"/>
        </w:rPr>
      </w:pPr>
    </w:p>
    <w:p w:rsidR="004C63A3" w:rsidRPr="0037748E" w:rsidRDefault="004C63A3" w:rsidP="004C63A3">
      <w:pPr>
        <w:rPr>
          <w:rFonts w:asciiTheme="minorHAnsi" w:hAnsiTheme="minorHAnsi" w:cstheme="minorHAnsi"/>
          <w:b/>
          <w:i/>
          <w:sz w:val="22"/>
          <w:szCs w:val="22"/>
        </w:rPr>
      </w:pPr>
      <w:r w:rsidRPr="0037748E">
        <w:rPr>
          <w:rFonts w:asciiTheme="minorHAnsi" w:hAnsiTheme="minorHAnsi" w:cstheme="minorHAnsi"/>
          <w:b/>
          <w:i/>
          <w:sz w:val="22"/>
          <w:szCs w:val="22"/>
        </w:rPr>
        <w:t>Waarom dit onderzoek?</w:t>
      </w:r>
    </w:p>
    <w:p w:rsidR="004C63A3" w:rsidRDefault="004C63A3" w:rsidP="004C63A3">
      <w:pPr>
        <w:rPr>
          <w:rFonts w:asciiTheme="minorHAnsi" w:hAnsiTheme="minorHAnsi" w:cstheme="minorHAnsi"/>
          <w:sz w:val="22"/>
          <w:szCs w:val="22"/>
        </w:rPr>
      </w:pPr>
      <w:r w:rsidRPr="00305EAF">
        <w:rPr>
          <w:rFonts w:asciiTheme="minorHAnsi" w:hAnsiTheme="minorHAnsi" w:cstheme="minorHAnsi"/>
          <w:sz w:val="22"/>
          <w:szCs w:val="22"/>
        </w:rPr>
        <w:t>Leerkrachten hebben het druk. Daardoor horen wij geregeld dat leerkrachte</w:t>
      </w:r>
      <w:r>
        <w:rPr>
          <w:rFonts w:asciiTheme="minorHAnsi" w:hAnsiTheme="minorHAnsi" w:cstheme="minorHAnsi"/>
          <w:sz w:val="22"/>
          <w:szCs w:val="22"/>
        </w:rPr>
        <w:t>n</w:t>
      </w:r>
      <w:r w:rsidRPr="00305EAF">
        <w:rPr>
          <w:rFonts w:asciiTheme="minorHAnsi" w:hAnsiTheme="minorHAnsi" w:cstheme="minorHAnsi"/>
          <w:sz w:val="22"/>
          <w:szCs w:val="22"/>
        </w:rPr>
        <w:t xml:space="preserve"> </w:t>
      </w:r>
      <w:r>
        <w:rPr>
          <w:rFonts w:asciiTheme="minorHAnsi" w:hAnsiTheme="minorHAnsi" w:cstheme="minorHAnsi"/>
          <w:sz w:val="22"/>
          <w:szCs w:val="22"/>
        </w:rPr>
        <w:t xml:space="preserve">bij het vormen van </w:t>
      </w:r>
      <w:r w:rsidRPr="00305EAF">
        <w:rPr>
          <w:rFonts w:asciiTheme="minorHAnsi" w:hAnsiTheme="minorHAnsi" w:cstheme="minorHAnsi"/>
          <w:sz w:val="22"/>
          <w:szCs w:val="22"/>
        </w:rPr>
        <w:t xml:space="preserve">de Taakspelgroepen </w:t>
      </w:r>
      <w:r>
        <w:rPr>
          <w:rFonts w:asciiTheme="minorHAnsi" w:hAnsiTheme="minorHAnsi" w:cstheme="minorHAnsi"/>
          <w:sz w:val="22"/>
          <w:szCs w:val="22"/>
        </w:rPr>
        <w:t xml:space="preserve">geen of slecht gebruik </w:t>
      </w:r>
      <w:r w:rsidRPr="00305EAF">
        <w:rPr>
          <w:rFonts w:asciiTheme="minorHAnsi" w:hAnsiTheme="minorHAnsi" w:cstheme="minorHAnsi"/>
          <w:sz w:val="22"/>
          <w:szCs w:val="22"/>
        </w:rPr>
        <w:t>maken van de Taakspelobservatielijsten</w:t>
      </w:r>
      <w:r>
        <w:rPr>
          <w:rFonts w:asciiTheme="minorHAnsi" w:hAnsiTheme="minorHAnsi" w:cstheme="minorHAnsi"/>
          <w:sz w:val="22"/>
          <w:szCs w:val="22"/>
        </w:rPr>
        <w:t xml:space="preserve">, maar </w:t>
      </w:r>
      <w:r w:rsidRPr="00305EAF">
        <w:rPr>
          <w:rFonts w:asciiTheme="minorHAnsi" w:hAnsiTheme="minorHAnsi" w:cstheme="minorHAnsi"/>
          <w:sz w:val="22"/>
          <w:szCs w:val="22"/>
        </w:rPr>
        <w:t xml:space="preserve">naar eigen inzicht </w:t>
      </w:r>
      <w:r>
        <w:rPr>
          <w:rFonts w:asciiTheme="minorHAnsi" w:hAnsiTheme="minorHAnsi" w:cstheme="minorHAnsi"/>
          <w:sz w:val="22"/>
          <w:szCs w:val="22"/>
        </w:rPr>
        <w:t xml:space="preserve">de Taakspelgroepen </w:t>
      </w:r>
      <w:r w:rsidRPr="00305EAF">
        <w:rPr>
          <w:rFonts w:asciiTheme="minorHAnsi" w:hAnsiTheme="minorHAnsi" w:cstheme="minorHAnsi"/>
          <w:sz w:val="22"/>
          <w:szCs w:val="22"/>
        </w:rPr>
        <w:t>indelen. Bijkomend voordeel van het integreren van de twee programma’s is dat leerkrachten meer gebruik mak</w:t>
      </w:r>
      <w:r>
        <w:rPr>
          <w:rFonts w:asciiTheme="minorHAnsi" w:hAnsiTheme="minorHAnsi" w:cstheme="minorHAnsi"/>
          <w:sz w:val="22"/>
          <w:szCs w:val="22"/>
        </w:rPr>
        <w:t>en van de gegevens uit Hart en Z</w:t>
      </w:r>
      <w:r w:rsidRPr="00305EAF">
        <w:rPr>
          <w:rFonts w:asciiTheme="minorHAnsi" w:hAnsiTheme="minorHAnsi" w:cstheme="minorHAnsi"/>
          <w:sz w:val="22"/>
          <w:szCs w:val="22"/>
        </w:rPr>
        <w:t xml:space="preserve">iel. Hierdoor wordt het belang van het invullen van de vragenlijsten voor leerkrachten vergroot. </w:t>
      </w:r>
    </w:p>
    <w:p w:rsidR="004C63A3" w:rsidRDefault="004C63A3" w:rsidP="004C63A3">
      <w:pPr>
        <w:rPr>
          <w:rFonts w:asciiTheme="minorHAnsi" w:hAnsiTheme="minorHAnsi" w:cstheme="minorHAnsi"/>
          <w:sz w:val="22"/>
          <w:szCs w:val="22"/>
        </w:rPr>
      </w:pPr>
    </w:p>
    <w:p w:rsidR="004C63A3" w:rsidRPr="0037748E" w:rsidRDefault="004C63A3" w:rsidP="004C63A3">
      <w:pPr>
        <w:rPr>
          <w:rFonts w:asciiTheme="minorHAnsi" w:hAnsiTheme="minorHAnsi" w:cstheme="minorHAnsi"/>
          <w:b/>
          <w:i/>
          <w:sz w:val="22"/>
          <w:szCs w:val="22"/>
        </w:rPr>
      </w:pPr>
      <w:r>
        <w:rPr>
          <w:rFonts w:asciiTheme="minorHAnsi" w:hAnsiTheme="minorHAnsi" w:cstheme="minorHAnsi"/>
          <w:b/>
          <w:i/>
          <w:sz w:val="22"/>
          <w:szCs w:val="22"/>
        </w:rPr>
        <w:t xml:space="preserve">Wat is het doel van dit onderzoek? </w:t>
      </w:r>
    </w:p>
    <w:p w:rsidR="004C63A3" w:rsidRPr="00305EAF" w:rsidRDefault="004C63A3" w:rsidP="004C63A3">
      <w:pPr>
        <w:rPr>
          <w:rFonts w:asciiTheme="minorHAnsi" w:hAnsiTheme="minorHAnsi" w:cstheme="minorHAnsi"/>
          <w:b/>
          <w:sz w:val="22"/>
          <w:szCs w:val="22"/>
        </w:rPr>
      </w:pPr>
      <w:r w:rsidRPr="00305EAF">
        <w:rPr>
          <w:rFonts w:asciiTheme="minorHAnsi" w:hAnsiTheme="minorHAnsi" w:cstheme="minorHAnsi"/>
          <w:bCs/>
          <w:sz w:val="22"/>
          <w:szCs w:val="22"/>
        </w:rPr>
        <w:t xml:space="preserve">Het doel van dit onderzoek is om te achterhalen </w:t>
      </w:r>
      <w:r>
        <w:rPr>
          <w:rFonts w:asciiTheme="minorHAnsi" w:hAnsiTheme="minorHAnsi" w:cstheme="minorHAnsi"/>
          <w:bCs/>
          <w:sz w:val="22"/>
          <w:szCs w:val="22"/>
        </w:rPr>
        <w:t xml:space="preserve">of </w:t>
      </w:r>
      <w:r w:rsidRPr="00305EAF">
        <w:rPr>
          <w:rFonts w:asciiTheme="minorHAnsi" w:hAnsiTheme="minorHAnsi" w:cstheme="minorHAnsi"/>
          <w:bCs/>
          <w:sz w:val="22"/>
          <w:szCs w:val="22"/>
        </w:rPr>
        <w:t xml:space="preserve">de groepjes bij </w:t>
      </w:r>
      <w:proofErr w:type="spellStart"/>
      <w:r w:rsidRPr="00305EAF">
        <w:rPr>
          <w:rFonts w:asciiTheme="minorHAnsi" w:hAnsiTheme="minorHAnsi" w:cstheme="minorHAnsi"/>
          <w:bCs/>
          <w:sz w:val="22"/>
          <w:szCs w:val="22"/>
        </w:rPr>
        <w:t>Taakspel</w:t>
      </w:r>
      <w:proofErr w:type="spellEnd"/>
      <w:r w:rsidRPr="00305EAF">
        <w:rPr>
          <w:rFonts w:asciiTheme="minorHAnsi" w:hAnsiTheme="minorHAnsi" w:cstheme="minorHAnsi"/>
          <w:bCs/>
          <w:sz w:val="22"/>
          <w:szCs w:val="22"/>
        </w:rPr>
        <w:t xml:space="preserve"> ook gevormd kunnen worden aan de hand van de gegevens van de SDQ uit Hart &amp; Ziel. Hiervoor stonden de onderstaande onderzoeksvragen centraal</w:t>
      </w:r>
      <w:r>
        <w:rPr>
          <w:rFonts w:asciiTheme="minorHAnsi" w:hAnsiTheme="minorHAnsi" w:cstheme="minorHAnsi"/>
          <w:bCs/>
          <w:sz w:val="22"/>
          <w:szCs w:val="22"/>
        </w:rPr>
        <w:t>:</w:t>
      </w:r>
      <w:r w:rsidRPr="00305EAF">
        <w:rPr>
          <w:rFonts w:asciiTheme="minorHAnsi" w:hAnsiTheme="minorHAnsi" w:cstheme="minorHAnsi"/>
          <w:bCs/>
          <w:sz w:val="22"/>
          <w:szCs w:val="22"/>
        </w:rPr>
        <w:tab/>
      </w:r>
    </w:p>
    <w:p w:rsidR="004C63A3" w:rsidRDefault="004C63A3" w:rsidP="004C63A3">
      <w:pPr>
        <w:pStyle w:val="Lijstalinea"/>
        <w:numPr>
          <w:ilvl w:val="0"/>
          <w:numId w:val="1"/>
        </w:numPr>
        <w:spacing w:after="200" w:line="276" w:lineRule="auto"/>
        <w:rPr>
          <w:rFonts w:asciiTheme="minorHAnsi" w:hAnsiTheme="minorHAnsi" w:cstheme="minorHAnsi"/>
          <w:sz w:val="22"/>
          <w:szCs w:val="22"/>
        </w:rPr>
      </w:pPr>
      <w:r w:rsidRPr="00305EAF">
        <w:rPr>
          <w:rFonts w:asciiTheme="minorHAnsi" w:hAnsiTheme="minorHAnsi" w:cstheme="minorHAnsi"/>
          <w:sz w:val="22"/>
          <w:szCs w:val="22"/>
        </w:rPr>
        <w:t xml:space="preserve">In hoeverre komen de </w:t>
      </w:r>
      <w:r>
        <w:rPr>
          <w:rFonts w:asciiTheme="minorHAnsi" w:hAnsiTheme="minorHAnsi" w:cstheme="minorHAnsi"/>
          <w:sz w:val="22"/>
          <w:szCs w:val="22"/>
        </w:rPr>
        <w:t>uitkomsten van de Taakspel</w:t>
      </w:r>
      <w:r w:rsidRPr="00305EAF">
        <w:rPr>
          <w:rFonts w:asciiTheme="minorHAnsi" w:hAnsiTheme="minorHAnsi" w:cstheme="minorHAnsi"/>
          <w:sz w:val="22"/>
          <w:szCs w:val="22"/>
        </w:rPr>
        <w:t xml:space="preserve">observatielijsten </w:t>
      </w:r>
      <w:r>
        <w:rPr>
          <w:rFonts w:asciiTheme="minorHAnsi" w:hAnsiTheme="minorHAnsi" w:cstheme="minorHAnsi"/>
          <w:sz w:val="22"/>
          <w:szCs w:val="22"/>
        </w:rPr>
        <w:t xml:space="preserve">overeen met </w:t>
      </w:r>
      <w:r w:rsidRPr="00305EAF">
        <w:rPr>
          <w:rFonts w:asciiTheme="minorHAnsi" w:hAnsiTheme="minorHAnsi" w:cstheme="minorHAnsi"/>
          <w:sz w:val="22"/>
          <w:szCs w:val="22"/>
        </w:rPr>
        <w:t>de SDQ scores van</w:t>
      </w:r>
      <w:r>
        <w:rPr>
          <w:rFonts w:asciiTheme="minorHAnsi" w:hAnsiTheme="minorHAnsi" w:cstheme="minorHAnsi"/>
          <w:sz w:val="22"/>
          <w:szCs w:val="22"/>
        </w:rPr>
        <w:t xml:space="preserve"> Hart &amp; Ziel?</w:t>
      </w:r>
    </w:p>
    <w:p w:rsidR="004C63A3" w:rsidRPr="0037748E" w:rsidRDefault="004C63A3" w:rsidP="004C63A3">
      <w:pPr>
        <w:pStyle w:val="Lijstalinea"/>
        <w:numPr>
          <w:ilvl w:val="0"/>
          <w:numId w:val="1"/>
        </w:numPr>
        <w:spacing w:after="200" w:line="276" w:lineRule="auto"/>
        <w:rPr>
          <w:rFonts w:asciiTheme="minorHAnsi" w:hAnsiTheme="minorHAnsi" w:cstheme="minorHAnsi"/>
          <w:sz w:val="22"/>
          <w:szCs w:val="22"/>
        </w:rPr>
      </w:pPr>
      <w:r w:rsidRPr="00305EAF">
        <w:rPr>
          <w:rFonts w:asciiTheme="minorHAnsi" w:hAnsiTheme="minorHAnsi" w:cstheme="minorHAnsi"/>
          <w:sz w:val="22"/>
          <w:szCs w:val="22"/>
        </w:rPr>
        <w:t>Werkt het maken van Taakspelgroepen via Hart &amp; Ziel in de praktijk net zo goed als gro</w:t>
      </w:r>
      <w:r>
        <w:rPr>
          <w:rFonts w:asciiTheme="minorHAnsi" w:hAnsiTheme="minorHAnsi" w:cstheme="minorHAnsi"/>
          <w:sz w:val="22"/>
          <w:szCs w:val="22"/>
        </w:rPr>
        <w:t xml:space="preserve">epen maken middels observeren? </w:t>
      </w:r>
    </w:p>
    <w:p w:rsidR="004C63A3" w:rsidRPr="00305EAF" w:rsidRDefault="004C63A3" w:rsidP="004C63A3">
      <w:pPr>
        <w:rPr>
          <w:rFonts w:asciiTheme="minorHAnsi" w:hAnsiTheme="minorHAnsi" w:cstheme="minorHAnsi"/>
          <w:sz w:val="22"/>
          <w:szCs w:val="22"/>
        </w:rPr>
      </w:pPr>
      <w:r w:rsidRPr="00305EAF">
        <w:rPr>
          <w:rFonts w:asciiTheme="minorHAnsi" w:hAnsiTheme="minorHAnsi" w:cstheme="minorHAnsi"/>
          <w:b/>
          <w:bCs/>
          <w:i/>
          <w:sz w:val="22"/>
          <w:szCs w:val="22"/>
        </w:rPr>
        <w:t>Wat hebben we gedaan?</w:t>
      </w:r>
      <w:r w:rsidRPr="00305EAF">
        <w:rPr>
          <w:rFonts w:asciiTheme="minorHAnsi" w:hAnsiTheme="minorHAnsi" w:cstheme="minorHAnsi"/>
          <w:b/>
          <w:bCs/>
          <w:sz w:val="22"/>
          <w:szCs w:val="22"/>
        </w:rPr>
        <w:br/>
      </w:r>
      <w:r w:rsidRPr="00305EAF">
        <w:rPr>
          <w:rFonts w:asciiTheme="minorHAnsi" w:hAnsiTheme="minorHAnsi" w:cstheme="minorHAnsi"/>
          <w:sz w:val="22"/>
          <w:szCs w:val="22"/>
        </w:rPr>
        <w:t xml:space="preserve">In het begin van schooljaar 2013-2014 hebben </w:t>
      </w:r>
      <w:r>
        <w:rPr>
          <w:rFonts w:asciiTheme="minorHAnsi" w:hAnsiTheme="minorHAnsi" w:cstheme="minorHAnsi"/>
          <w:sz w:val="22"/>
          <w:szCs w:val="22"/>
        </w:rPr>
        <w:t>Taakspel</w:t>
      </w:r>
      <w:r w:rsidRPr="00305EAF">
        <w:rPr>
          <w:rFonts w:asciiTheme="minorHAnsi" w:hAnsiTheme="minorHAnsi" w:cstheme="minorHAnsi"/>
          <w:sz w:val="22"/>
          <w:szCs w:val="22"/>
        </w:rPr>
        <w:t xml:space="preserve">begeleiders observatieformulieren </w:t>
      </w:r>
      <w:r>
        <w:rPr>
          <w:rFonts w:asciiTheme="minorHAnsi" w:hAnsiTheme="minorHAnsi" w:cstheme="minorHAnsi"/>
          <w:sz w:val="22"/>
          <w:szCs w:val="22"/>
        </w:rPr>
        <w:t xml:space="preserve">1a en 2 </w:t>
      </w:r>
      <w:r w:rsidRPr="00305EAF">
        <w:rPr>
          <w:rFonts w:asciiTheme="minorHAnsi" w:hAnsiTheme="minorHAnsi" w:cstheme="minorHAnsi"/>
          <w:sz w:val="22"/>
          <w:szCs w:val="22"/>
        </w:rPr>
        <w:t>van 41 leerkrachten ve</w:t>
      </w:r>
      <w:r>
        <w:rPr>
          <w:rFonts w:asciiTheme="minorHAnsi" w:hAnsiTheme="minorHAnsi" w:cstheme="minorHAnsi"/>
          <w:sz w:val="22"/>
          <w:szCs w:val="22"/>
        </w:rPr>
        <w:t>rzameld en naar ons opgestuurd.</w:t>
      </w:r>
      <w:r w:rsidRPr="00305EAF">
        <w:rPr>
          <w:rFonts w:asciiTheme="minorHAnsi" w:hAnsiTheme="minorHAnsi" w:cstheme="minorHAnsi"/>
          <w:sz w:val="22"/>
          <w:szCs w:val="22"/>
        </w:rPr>
        <w:t xml:space="preserve"> Deze leerkrachten vullen ook de SDQ in </w:t>
      </w:r>
      <w:r>
        <w:rPr>
          <w:rFonts w:asciiTheme="minorHAnsi" w:hAnsiTheme="minorHAnsi" w:cstheme="minorHAnsi"/>
          <w:sz w:val="22"/>
          <w:szCs w:val="22"/>
        </w:rPr>
        <w:t>binnen</w:t>
      </w:r>
      <w:r w:rsidRPr="00305EAF">
        <w:rPr>
          <w:rFonts w:asciiTheme="minorHAnsi" w:hAnsiTheme="minorHAnsi" w:cstheme="minorHAnsi"/>
          <w:sz w:val="22"/>
          <w:szCs w:val="22"/>
        </w:rPr>
        <w:t xml:space="preserve"> Hart &amp; Ziel. We hebben van 734 leerlingen de SDQ scores vergeleken met het gemiddeld </w:t>
      </w:r>
      <w:proofErr w:type="spellStart"/>
      <w:r w:rsidRPr="00305EAF">
        <w:rPr>
          <w:rFonts w:asciiTheme="minorHAnsi" w:hAnsiTheme="minorHAnsi" w:cstheme="minorHAnsi"/>
          <w:sz w:val="22"/>
          <w:szCs w:val="22"/>
        </w:rPr>
        <w:t>regelovertredend</w:t>
      </w:r>
      <w:proofErr w:type="spellEnd"/>
      <w:r w:rsidRPr="00305EAF">
        <w:rPr>
          <w:rFonts w:asciiTheme="minorHAnsi" w:hAnsiTheme="minorHAnsi" w:cstheme="minorHAnsi"/>
          <w:sz w:val="22"/>
          <w:szCs w:val="22"/>
        </w:rPr>
        <w:t xml:space="preserve"> gedrag van de kinde</w:t>
      </w:r>
      <w:r>
        <w:rPr>
          <w:rFonts w:asciiTheme="minorHAnsi" w:hAnsiTheme="minorHAnsi" w:cstheme="minorHAnsi"/>
          <w:sz w:val="22"/>
          <w:szCs w:val="22"/>
        </w:rPr>
        <w:t>ren uit de observatieformulier 1a</w:t>
      </w:r>
      <w:r w:rsidRPr="00305EAF">
        <w:rPr>
          <w:rFonts w:asciiTheme="minorHAnsi" w:hAnsiTheme="minorHAnsi" w:cstheme="minorHAnsi"/>
          <w:sz w:val="22"/>
          <w:szCs w:val="22"/>
        </w:rPr>
        <w:t xml:space="preserve"> van </w:t>
      </w:r>
      <w:proofErr w:type="spellStart"/>
      <w:r w:rsidRPr="00305EAF">
        <w:rPr>
          <w:rFonts w:asciiTheme="minorHAnsi" w:hAnsiTheme="minorHAnsi" w:cstheme="minorHAnsi"/>
          <w:sz w:val="22"/>
          <w:szCs w:val="22"/>
        </w:rPr>
        <w:t>Taakspel</w:t>
      </w:r>
      <w:proofErr w:type="spellEnd"/>
      <w:r w:rsidRPr="00305EAF">
        <w:rPr>
          <w:rFonts w:asciiTheme="minorHAnsi" w:hAnsiTheme="minorHAnsi" w:cstheme="minorHAnsi"/>
          <w:sz w:val="22"/>
          <w:szCs w:val="22"/>
        </w:rPr>
        <w:t xml:space="preserve">. Op basis van deze uitkomsten hebben </w:t>
      </w:r>
      <w:r>
        <w:rPr>
          <w:rFonts w:asciiTheme="minorHAnsi" w:hAnsiTheme="minorHAnsi" w:cstheme="minorHAnsi"/>
          <w:sz w:val="22"/>
          <w:szCs w:val="22"/>
        </w:rPr>
        <w:t>wij</w:t>
      </w:r>
      <w:r w:rsidRPr="00305EAF">
        <w:rPr>
          <w:rFonts w:asciiTheme="minorHAnsi" w:hAnsiTheme="minorHAnsi" w:cstheme="minorHAnsi"/>
          <w:sz w:val="22"/>
          <w:szCs w:val="22"/>
        </w:rPr>
        <w:t xml:space="preserve"> een instructie geschreven op welke manier de leerkracht de groepen kan maken voor </w:t>
      </w:r>
      <w:proofErr w:type="spellStart"/>
      <w:r w:rsidRPr="00305EAF">
        <w:rPr>
          <w:rFonts w:asciiTheme="minorHAnsi" w:hAnsiTheme="minorHAnsi" w:cstheme="minorHAnsi"/>
          <w:sz w:val="22"/>
          <w:szCs w:val="22"/>
        </w:rPr>
        <w:t>Taakspel</w:t>
      </w:r>
      <w:proofErr w:type="spellEnd"/>
      <w:r>
        <w:rPr>
          <w:rFonts w:asciiTheme="minorHAnsi" w:hAnsiTheme="minorHAnsi" w:cstheme="minorHAnsi"/>
          <w:sz w:val="22"/>
          <w:szCs w:val="22"/>
        </w:rPr>
        <w:t xml:space="preserve"> middels de SDQ</w:t>
      </w:r>
      <w:r w:rsidRPr="00305EAF">
        <w:rPr>
          <w:rFonts w:asciiTheme="minorHAnsi" w:hAnsiTheme="minorHAnsi" w:cstheme="minorHAnsi"/>
          <w:sz w:val="22"/>
          <w:szCs w:val="22"/>
        </w:rPr>
        <w:t xml:space="preserve">. Acht leerkrachten hebben deze instructie gebruikt om te kijken of </w:t>
      </w:r>
      <w:r>
        <w:rPr>
          <w:rFonts w:asciiTheme="minorHAnsi" w:hAnsiTheme="minorHAnsi" w:cstheme="minorHAnsi"/>
          <w:sz w:val="22"/>
          <w:szCs w:val="22"/>
        </w:rPr>
        <w:t xml:space="preserve">dit </w:t>
      </w:r>
      <w:r w:rsidRPr="00305EAF">
        <w:rPr>
          <w:rFonts w:asciiTheme="minorHAnsi" w:hAnsiTheme="minorHAnsi" w:cstheme="minorHAnsi"/>
          <w:sz w:val="22"/>
          <w:szCs w:val="22"/>
        </w:rPr>
        <w:t xml:space="preserve">ook in de praktijk mogelijk is. Dit is telefonisch geëvalueerd. </w:t>
      </w:r>
    </w:p>
    <w:p w:rsidR="004C63A3" w:rsidRPr="00305EAF" w:rsidRDefault="004C63A3" w:rsidP="004C63A3">
      <w:pPr>
        <w:rPr>
          <w:rFonts w:asciiTheme="minorHAnsi" w:hAnsiTheme="minorHAnsi" w:cstheme="minorHAnsi"/>
          <w:b/>
          <w:bCs/>
          <w:i/>
          <w:sz w:val="22"/>
          <w:szCs w:val="22"/>
        </w:rPr>
      </w:pPr>
    </w:p>
    <w:p w:rsidR="004C63A3" w:rsidRDefault="004C63A3" w:rsidP="004C63A3">
      <w:pPr>
        <w:rPr>
          <w:rFonts w:asciiTheme="minorHAnsi" w:hAnsiTheme="minorHAnsi" w:cstheme="minorHAnsi"/>
          <w:sz w:val="22"/>
          <w:szCs w:val="22"/>
        </w:rPr>
      </w:pPr>
      <w:r>
        <w:rPr>
          <w:rFonts w:asciiTheme="minorHAnsi" w:hAnsiTheme="minorHAnsi" w:cstheme="minorHAnsi"/>
          <w:b/>
          <w:bCs/>
          <w:i/>
          <w:sz w:val="22"/>
          <w:szCs w:val="22"/>
        </w:rPr>
        <w:t>Wat zijn de resultaten?</w:t>
      </w:r>
      <w:r w:rsidRPr="00305EAF">
        <w:rPr>
          <w:rFonts w:asciiTheme="minorHAnsi" w:hAnsiTheme="minorHAnsi" w:cstheme="minorHAnsi"/>
          <w:b/>
          <w:bCs/>
          <w:sz w:val="22"/>
          <w:szCs w:val="22"/>
        </w:rPr>
        <w:br/>
      </w:r>
      <w:r w:rsidRPr="00305EAF">
        <w:rPr>
          <w:rFonts w:asciiTheme="minorHAnsi" w:hAnsiTheme="minorHAnsi" w:cstheme="minorHAnsi"/>
          <w:b/>
          <w:bCs/>
          <w:sz w:val="22"/>
          <w:szCs w:val="22"/>
        </w:rPr>
        <w:br/>
      </w:r>
      <w:r w:rsidRPr="00305EAF">
        <w:rPr>
          <w:rFonts w:asciiTheme="minorHAnsi" w:hAnsiTheme="minorHAnsi" w:cstheme="minorHAnsi"/>
          <w:bCs/>
          <w:i/>
          <w:sz w:val="22"/>
          <w:szCs w:val="22"/>
        </w:rPr>
        <w:t>Analyse van de SDQ</w:t>
      </w:r>
      <w:r>
        <w:rPr>
          <w:rFonts w:asciiTheme="minorHAnsi" w:hAnsiTheme="minorHAnsi" w:cstheme="minorHAnsi"/>
          <w:sz w:val="22"/>
          <w:szCs w:val="22"/>
        </w:rPr>
        <w:br/>
        <w:t xml:space="preserve">De observatielijst 1a van </w:t>
      </w:r>
      <w:proofErr w:type="spellStart"/>
      <w:r>
        <w:rPr>
          <w:rFonts w:asciiTheme="minorHAnsi" w:hAnsiTheme="minorHAnsi" w:cstheme="minorHAnsi"/>
          <w:sz w:val="22"/>
          <w:szCs w:val="22"/>
        </w:rPr>
        <w:t>Taakspel</w:t>
      </w:r>
      <w:proofErr w:type="spellEnd"/>
      <w:r>
        <w:rPr>
          <w:rFonts w:asciiTheme="minorHAnsi" w:hAnsiTheme="minorHAnsi" w:cstheme="minorHAnsi"/>
          <w:sz w:val="22"/>
          <w:szCs w:val="22"/>
        </w:rPr>
        <w:t xml:space="preserve"> </w:t>
      </w:r>
      <w:r w:rsidRPr="00305EAF">
        <w:rPr>
          <w:rFonts w:asciiTheme="minorHAnsi" w:hAnsiTheme="minorHAnsi" w:cstheme="minorHAnsi"/>
          <w:sz w:val="22"/>
          <w:szCs w:val="22"/>
        </w:rPr>
        <w:t xml:space="preserve">komt het meest overeen met </w:t>
      </w:r>
      <w:proofErr w:type="spellStart"/>
      <w:r w:rsidRPr="00305EAF">
        <w:rPr>
          <w:rFonts w:asciiTheme="minorHAnsi" w:hAnsiTheme="minorHAnsi" w:cstheme="minorHAnsi"/>
          <w:sz w:val="22"/>
          <w:szCs w:val="22"/>
        </w:rPr>
        <w:t>subschaal</w:t>
      </w:r>
      <w:proofErr w:type="spellEnd"/>
      <w:r w:rsidRPr="00305EAF">
        <w:rPr>
          <w:rFonts w:asciiTheme="minorHAnsi" w:hAnsiTheme="minorHAnsi" w:cstheme="minorHAnsi"/>
          <w:sz w:val="22"/>
          <w:szCs w:val="22"/>
        </w:rPr>
        <w:t xml:space="preserve"> </w:t>
      </w:r>
      <w:r>
        <w:rPr>
          <w:rFonts w:asciiTheme="minorHAnsi" w:hAnsiTheme="minorHAnsi" w:cstheme="minorHAnsi"/>
          <w:sz w:val="22"/>
          <w:szCs w:val="22"/>
        </w:rPr>
        <w:t>‘</w:t>
      </w:r>
      <w:r w:rsidRPr="00305EAF">
        <w:rPr>
          <w:rFonts w:asciiTheme="minorHAnsi" w:hAnsiTheme="minorHAnsi" w:cstheme="minorHAnsi"/>
          <w:sz w:val="22"/>
          <w:szCs w:val="22"/>
        </w:rPr>
        <w:t>hyperactiviteit</w:t>
      </w:r>
      <w:r>
        <w:rPr>
          <w:rFonts w:asciiTheme="minorHAnsi" w:hAnsiTheme="minorHAnsi" w:cstheme="minorHAnsi"/>
          <w:sz w:val="22"/>
          <w:szCs w:val="22"/>
        </w:rPr>
        <w:t>’</w:t>
      </w:r>
      <w:r w:rsidRPr="00305EAF">
        <w:rPr>
          <w:rFonts w:asciiTheme="minorHAnsi" w:hAnsiTheme="minorHAnsi" w:cstheme="minorHAnsi"/>
          <w:sz w:val="22"/>
          <w:szCs w:val="22"/>
        </w:rPr>
        <w:t xml:space="preserve"> van de SDQ. Op de SDQ-totaal</w:t>
      </w:r>
      <w:r>
        <w:rPr>
          <w:rFonts w:asciiTheme="minorHAnsi" w:hAnsiTheme="minorHAnsi" w:cstheme="minorHAnsi"/>
          <w:sz w:val="22"/>
          <w:szCs w:val="22"/>
        </w:rPr>
        <w:t xml:space="preserve">score en de </w:t>
      </w:r>
      <w:proofErr w:type="spellStart"/>
      <w:r>
        <w:rPr>
          <w:rFonts w:asciiTheme="minorHAnsi" w:hAnsiTheme="minorHAnsi" w:cstheme="minorHAnsi"/>
          <w:sz w:val="22"/>
          <w:szCs w:val="22"/>
        </w:rPr>
        <w:t>subschalen</w:t>
      </w:r>
      <w:proofErr w:type="spellEnd"/>
      <w:r>
        <w:rPr>
          <w:rFonts w:asciiTheme="minorHAnsi" w:hAnsiTheme="minorHAnsi" w:cstheme="minorHAnsi"/>
          <w:sz w:val="22"/>
          <w:szCs w:val="22"/>
        </w:rPr>
        <w:t xml:space="preserve"> ‘</w:t>
      </w:r>
      <w:r w:rsidRPr="00305EAF">
        <w:rPr>
          <w:rFonts w:asciiTheme="minorHAnsi" w:hAnsiTheme="minorHAnsi" w:cstheme="minorHAnsi"/>
          <w:sz w:val="22"/>
          <w:szCs w:val="22"/>
        </w:rPr>
        <w:t>gedragsproblemen</w:t>
      </w:r>
      <w:r>
        <w:rPr>
          <w:rFonts w:asciiTheme="minorHAnsi" w:hAnsiTheme="minorHAnsi" w:cstheme="minorHAnsi"/>
          <w:sz w:val="22"/>
          <w:szCs w:val="22"/>
        </w:rPr>
        <w:t>’</w:t>
      </w:r>
      <w:r w:rsidRPr="00305EAF">
        <w:rPr>
          <w:rFonts w:asciiTheme="minorHAnsi" w:hAnsiTheme="minorHAnsi" w:cstheme="minorHAnsi"/>
          <w:sz w:val="22"/>
          <w:szCs w:val="22"/>
        </w:rPr>
        <w:t xml:space="preserve"> en </w:t>
      </w:r>
      <w:r>
        <w:rPr>
          <w:rFonts w:asciiTheme="minorHAnsi" w:hAnsiTheme="minorHAnsi" w:cstheme="minorHAnsi"/>
          <w:sz w:val="22"/>
          <w:szCs w:val="22"/>
        </w:rPr>
        <w:t>‘</w:t>
      </w:r>
      <w:r w:rsidRPr="00305EAF">
        <w:rPr>
          <w:rFonts w:asciiTheme="minorHAnsi" w:hAnsiTheme="minorHAnsi" w:cstheme="minorHAnsi"/>
          <w:sz w:val="22"/>
          <w:szCs w:val="22"/>
        </w:rPr>
        <w:t>emotionele problemen</w:t>
      </w:r>
      <w:r>
        <w:rPr>
          <w:rFonts w:asciiTheme="minorHAnsi" w:hAnsiTheme="minorHAnsi" w:cstheme="minorHAnsi"/>
          <w:sz w:val="22"/>
          <w:szCs w:val="22"/>
        </w:rPr>
        <w:t>’</w:t>
      </w:r>
      <w:r w:rsidRPr="00305EAF">
        <w:rPr>
          <w:rFonts w:asciiTheme="minorHAnsi" w:hAnsiTheme="minorHAnsi" w:cstheme="minorHAnsi"/>
          <w:sz w:val="22"/>
          <w:szCs w:val="22"/>
        </w:rPr>
        <w:t xml:space="preserve"> zijn ook significante verbanden gevonden). Geen significante </w:t>
      </w:r>
      <w:r>
        <w:rPr>
          <w:rFonts w:asciiTheme="minorHAnsi" w:hAnsiTheme="minorHAnsi" w:cstheme="minorHAnsi"/>
          <w:sz w:val="22"/>
          <w:szCs w:val="22"/>
        </w:rPr>
        <w:t>verbanden</w:t>
      </w:r>
      <w:r w:rsidRPr="00305EAF">
        <w:rPr>
          <w:rFonts w:asciiTheme="minorHAnsi" w:hAnsiTheme="minorHAnsi" w:cstheme="minorHAnsi"/>
          <w:sz w:val="22"/>
          <w:szCs w:val="22"/>
        </w:rPr>
        <w:t xml:space="preserve"> zijn gevonden voor </w:t>
      </w:r>
      <w:r>
        <w:rPr>
          <w:rFonts w:asciiTheme="minorHAnsi" w:hAnsiTheme="minorHAnsi" w:cstheme="minorHAnsi"/>
          <w:sz w:val="22"/>
          <w:szCs w:val="22"/>
        </w:rPr>
        <w:t xml:space="preserve">de </w:t>
      </w:r>
      <w:proofErr w:type="spellStart"/>
      <w:r>
        <w:rPr>
          <w:rFonts w:asciiTheme="minorHAnsi" w:hAnsiTheme="minorHAnsi" w:cstheme="minorHAnsi"/>
          <w:sz w:val="22"/>
          <w:szCs w:val="22"/>
        </w:rPr>
        <w:t>subschalen</w:t>
      </w:r>
      <w:proofErr w:type="spellEnd"/>
      <w:r>
        <w:rPr>
          <w:rFonts w:asciiTheme="minorHAnsi" w:hAnsiTheme="minorHAnsi" w:cstheme="minorHAnsi"/>
          <w:sz w:val="22"/>
          <w:szCs w:val="22"/>
        </w:rPr>
        <w:t xml:space="preserve"> ‘</w:t>
      </w:r>
      <w:r w:rsidRPr="00305EAF">
        <w:rPr>
          <w:rFonts w:asciiTheme="minorHAnsi" w:hAnsiTheme="minorHAnsi" w:cstheme="minorHAnsi"/>
          <w:sz w:val="22"/>
          <w:szCs w:val="22"/>
        </w:rPr>
        <w:t>problemen met leeftijdsgenootjes</w:t>
      </w:r>
      <w:r>
        <w:rPr>
          <w:rFonts w:asciiTheme="minorHAnsi" w:hAnsiTheme="minorHAnsi" w:cstheme="minorHAnsi"/>
          <w:sz w:val="22"/>
          <w:szCs w:val="22"/>
        </w:rPr>
        <w:t>’</w:t>
      </w:r>
      <w:r w:rsidRPr="00305EAF">
        <w:rPr>
          <w:rFonts w:asciiTheme="minorHAnsi" w:hAnsiTheme="minorHAnsi" w:cstheme="minorHAnsi"/>
          <w:sz w:val="22"/>
          <w:szCs w:val="22"/>
        </w:rPr>
        <w:t xml:space="preserve"> en </w:t>
      </w:r>
      <w:r>
        <w:rPr>
          <w:rFonts w:asciiTheme="minorHAnsi" w:hAnsiTheme="minorHAnsi" w:cstheme="minorHAnsi"/>
          <w:sz w:val="22"/>
          <w:szCs w:val="22"/>
        </w:rPr>
        <w:t>‘</w:t>
      </w:r>
      <w:r w:rsidRPr="00305EAF">
        <w:rPr>
          <w:rFonts w:asciiTheme="minorHAnsi" w:hAnsiTheme="minorHAnsi" w:cstheme="minorHAnsi"/>
          <w:sz w:val="22"/>
          <w:szCs w:val="22"/>
        </w:rPr>
        <w:t>pro-sociaal gedrag</w:t>
      </w:r>
      <w:r>
        <w:rPr>
          <w:rFonts w:asciiTheme="minorHAnsi" w:hAnsiTheme="minorHAnsi" w:cstheme="minorHAnsi"/>
          <w:sz w:val="22"/>
          <w:szCs w:val="22"/>
        </w:rPr>
        <w:t>’</w:t>
      </w:r>
      <w:r w:rsidRPr="00305EAF">
        <w:rPr>
          <w:rFonts w:asciiTheme="minorHAnsi" w:hAnsiTheme="minorHAnsi" w:cstheme="minorHAnsi"/>
          <w:sz w:val="22"/>
          <w:szCs w:val="22"/>
        </w:rPr>
        <w:t xml:space="preserve">. </w:t>
      </w:r>
    </w:p>
    <w:p w:rsidR="004C63A3" w:rsidRDefault="004C63A3" w:rsidP="004C63A3">
      <w:pPr>
        <w:rPr>
          <w:rFonts w:asciiTheme="minorHAnsi" w:hAnsiTheme="minorHAnsi" w:cstheme="minorHAnsi"/>
          <w:sz w:val="22"/>
          <w:szCs w:val="22"/>
        </w:rPr>
      </w:pPr>
      <w:r>
        <w:rPr>
          <w:rFonts w:asciiTheme="minorHAnsi" w:hAnsiTheme="minorHAnsi" w:cstheme="minorHAnsi"/>
          <w:sz w:val="22"/>
          <w:szCs w:val="22"/>
        </w:rPr>
        <w:t xml:space="preserve">Observatieformulier 2 hebben de leerkrachten slecht of niet ingevuld, waardoor deze gegevens niet gebruikt konden worden. </w:t>
      </w:r>
      <w:r w:rsidRPr="00305EAF">
        <w:rPr>
          <w:rFonts w:asciiTheme="minorHAnsi" w:hAnsiTheme="minorHAnsi" w:cstheme="minorHAnsi"/>
          <w:sz w:val="22"/>
          <w:szCs w:val="22"/>
        </w:rPr>
        <w:t xml:space="preserve">De in observatieformulier 2 aangegeven verlegen kinderen komen met geen van de </w:t>
      </w:r>
      <w:proofErr w:type="spellStart"/>
      <w:r w:rsidRPr="00305EAF">
        <w:rPr>
          <w:rFonts w:asciiTheme="minorHAnsi" w:hAnsiTheme="minorHAnsi" w:cstheme="minorHAnsi"/>
          <w:sz w:val="22"/>
          <w:szCs w:val="22"/>
        </w:rPr>
        <w:t>subschalen</w:t>
      </w:r>
      <w:proofErr w:type="spellEnd"/>
      <w:r w:rsidRPr="00305EAF">
        <w:rPr>
          <w:rFonts w:asciiTheme="minorHAnsi" w:hAnsiTheme="minorHAnsi" w:cstheme="minorHAnsi"/>
          <w:sz w:val="22"/>
          <w:szCs w:val="22"/>
        </w:rPr>
        <w:t xml:space="preserve"> van de SDQ overeen.</w:t>
      </w:r>
    </w:p>
    <w:p w:rsidR="004C63A3" w:rsidRPr="00305EAF" w:rsidRDefault="004C63A3" w:rsidP="004C63A3">
      <w:pPr>
        <w:rPr>
          <w:rFonts w:asciiTheme="minorHAnsi" w:hAnsiTheme="minorHAnsi" w:cstheme="minorHAnsi"/>
          <w:bCs/>
          <w:i/>
          <w:sz w:val="22"/>
          <w:szCs w:val="22"/>
        </w:rPr>
      </w:pPr>
    </w:p>
    <w:p w:rsidR="004C63A3" w:rsidRPr="00305EAF" w:rsidRDefault="004C63A3" w:rsidP="004C63A3">
      <w:pPr>
        <w:rPr>
          <w:rFonts w:asciiTheme="minorHAnsi" w:hAnsiTheme="minorHAnsi" w:cstheme="minorHAnsi"/>
          <w:sz w:val="22"/>
          <w:szCs w:val="22"/>
        </w:rPr>
      </w:pPr>
      <w:r w:rsidRPr="00305EAF">
        <w:rPr>
          <w:rFonts w:asciiTheme="minorHAnsi" w:hAnsiTheme="minorHAnsi" w:cstheme="minorHAnsi"/>
          <w:bCs/>
          <w:i/>
          <w:sz w:val="22"/>
          <w:szCs w:val="22"/>
        </w:rPr>
        <w:t>Interviews leerkrachten</w:t>
      </w:r>
      <w:r w:rsidRPr="00305EAF">
        <w:rPr>
          <w:rFonts w:asciiTheme="minorHAnsi" w:hAnsiTheme="minorHAnsi" w:cstheme="minorHAnsi"/>
          <w:sz w:val="22"/>
          <w:szCs w:val="22"/>
        </w:rPr>
        <w:br/>
        <w:t xml:space="preserve">Zes van de acht leerkrachten waren zeer positief over het vormen van Taakspelgroepen met de </w:t>
      </w:r>
      <w:proofErr w:type="spellStart"/>
      <w:r w:rsidRPr="00305EAF">
        <w:rPr>
          <w:rFonts w:asciiTheme="minorHAnsi" w:hAnsiTheme="minorHAnsi" w:cstheme="minorHAnsi"/>
          <w:sz w:val="22"/>
          <w:szCs w:val="22"/>
        </w:rPr>
        <w:t>subschaal</w:t>
      </w:r>
      <w:proofErr w:type="spellEnd"/>
      <w:r w:rsidRPr="00305EAF">
        <w:rPr>
          <w:rFonts w:asciiTheme="minorHAnsi" w:hAnsiTheme="minorHAnsi" w:cstheme="minorHAnsi"/>
          <w:sz w:val="22"/>
          <w:szCs w:val="22"/>
        </w:rPr>
        <w:t xml:space="preserve"> </w:t>
      </w:r>
      <w:r>
        <w:rPr>
          <w:rFonts w:asciiTheme="minorHAnsi" w:hAnsiTheme="minorHAnsi" w:cstheme="minorHAnsi"/>
          <w:sz w:val="22"/>
          <w:szCs w:val="22"/>
        </w:rPr>
        <w:t>‘</w:t>
      </w:r>
      <w:r w:rsidRPr="00305EAF">
        <w:rPr>
          <w:rFonts w:asciiTheme="minorHAnsi" w:hAnsiTheme="minorHAnsi" w:cstheme="minorHAnsi"/>
          <w:sz w:val="22"/>
          <w:szCs w:val="22"/>
        </w:rPr>
        <w:t>hyperactiviteit</w:t>
      </w:r>
      <w:r>
        <w:rPr>
          <w:rFonts w:asciiTheme="minorHAnsi" w:hAnsiTheme="minorHAnsi" w:cstheme="minorHAnsi"/>
          <w:sz w:val="22"/>
          <w:szCs w:val="22"/>
        </w:rPr>
        <w:t>’</w:t>
      </w:r>
      <w:r w:rsidRPr="00305EAF">
        <w:rPr>
          <w:rFonts w:asciiTheme="minorHAnsi" w:hAnsiTheme="minorHAnsi" w:cstheme="minorHAnsi"/>
          <w:sz w:val="22"/>
          <w:szCs w:val="22"/>
        </w:rPr>
        <w:t xml:space="preserve">. De leerkrachten gaven aan dat de nieuwgevormde groepen net zo goed werkten en dat de kinderen met </w:t>
      </w:r>
      <w:proofErr w:type="spellStart"/>
      <w:r w:rsidRPr="00305EAF">
        <w:rPr>
          <w:rFonts w:asciiTheme="minorHAnsi" w:hAnsiTheme="minorHAnsi" w:cstheme="minorHAnsi"/>
          <w:sz w:val="22"/>
          <w:szCs w:val="22"/>
        </w:rPr>
        <w:t>regelovertredend</w:t>
      </w:r>
      <w:proofErr w:type="spellEnd"/>
      <w:r w:rsidRPr="00305EAF">
        <w:rPr>
          <w:rFonts w:asciiTheme="minorHAnsi" w:hAnsiTheme="minorHAnsi" w:cstheme="minorHAnsi"/>
          <w:sz w:val="22"/>
          <w:szCs w:val="22"/>
        </w:rPr>
        <w:t xml:space="preserve"> gedrag goed verdeeld waren. Tijdswinst  wordt als voordeel aangegeven. Eén leerkracht gaf aan dat het vormen van groepen lastig was omdat  ze een kleine klas heeft met weinig variatie in hyperactiviteit</w:t>
      </w:r>
      <w:r>
        <w:rPr>
          <w:rFonts w:asciiTheme="minorHAnsi" w:hAnsiTheme="minorHAnsi" w:cstheme="minorHAnsi"/>
          <w:sz w:val="22"/>
          <w:szCs w:val="22"/>
        </w:rPr>
        <w:t xml:space="preserve"> scores</w:t>
      </w:r>
      <w:r w:rsidRPr="00305EAF">
        <w:rPr>
          <w:rFonts w:asciiTheme="minorHAnsi" w:hAnsiTheme="minorHAnsi" w:cstheme="minorHAnsi"/>
          <w:sz w:val="22"/>
          <w:szCs w:val="22"/>
        </w:rPr>
        <w:t>.</w:t>
      </w:r>
    </w:p>
    <w:p w:rsidR="004C63A3" w:rsidRDefault="004C63A3" w:rsidP="004C63A3">
      <w:pPr>
        <w:rPr>
          <w:rFonts w:asciiTheme="minorHAnsi" w:hAnsiTheme="minorHAnsi" w:cstheme="minorHAnsi"/>
          <w:sz w:val="22"/>
          <w:szCs w:val="22"/>
        </w:rPr>
      </w:pPr>
    </w:p>
    <w:p w:rsidR="004C63A3" w:rsidRPr="00691A62" w:rsidRDefault="004C63A3" w:rsidP="004C63A3">
      <w:pPr>
        <w:rPr>
          <w:rFonts w:asciiTheme="minorHAnsi" w:hAnsiTheme="minorHAnsi" w:cstheme="minorHAnsi"/>
          <w:sz w:val="22"/>
          <w:szCs w:val="22"/>
          <w:u w:val="single"/>
        </w:rPr>
      </w:pPr>
      <w:r>
        <w:rPr>
          <w:rFonts w:asciiTheme="minorHAnsi" w:hAnsiTheme="minorHAnsi" w:cstheme="minorHAnsi"/>
          <w:sz w:val="22"/>
          <w:szCs w:val="22"/>
          <w:u w:val="single"/>
        </w:rPr>
        <w:br/>
      </w:r>
      <w:r w:rsidRPr="00691A62">
        <w:rPr>
          <w:rFonts w:asciiTheme="minorHAnsi" w:hAnsiTheme="minorHAnsi" w:cstheme="minorHAnsi"/>
          <w:sz w:val="22"/>
          <w:szCs w:val="22"/>
          <w:u w:val="single"/>
        </w:rPr>
        <w:t>Citaat van leerkrachten</w:t>
      </w:r>
    </w:p>
    <w:p w:rsidR="004C63A3" w:rsidRDefault="004C63A3" w:rsidP="004C63A3">
      <w:pPr>
        <w:rPr>
          <w:rFonts w:asciiTheme="minorHAnsi" w:hAnsiTheme="minorHAnsi" w:cstheme="minorHAnsi"/>
          <w:i/>
          <w:iCs/>
          <w:sz w:val="22"/>
          <w:szCs w:val="22"/>
        </w:rPr>
      </w:pPr>
      <w:r>
        <w:rPr>
          <w:rFonts w:asciiTheme="minorHAnsi" w:hAnsiTheme="minorHAnsi" w:cstheme="minorHAnsi"/>
          <w:i/>
          <w:iCs/>
          <w:sz w:val="22"/>
          <w:szCs w:val="22"/>
        </w:rPr>
        <w:t>‘G</w:t>
      </w:r>
      <w:r w:rsidRPr="00305EAF">
        <w:rPr>
          <w:rFonts w:asciiTheme="minorHAnsi" w:hAnsiTheme="minorHAnsi" w:cstheme="minorHAnsi"/>
          <w:i/>
          <w:iCs/>
          <w:sz w:val="22"/>
          <w:szCs w:val="22"/>
        </w:rPr>
        <w:t>roepen zijn perfect en hetzelfde als wanneer ze met de observatieform</w:t>
      </w:r>
      <w:r>
        <w:rPr>
          <w:rFonts w:asciiTheme="minorHAnsi" w:hAnsiTheme="minorHAnsi" w:cstheme="minorHAnsi"/>
          <w:i/>
          <w:iCs/>
          <w:sz w:val="22"/>
          <w:szCs w:val="22"/>
        </w:rPr>
        <w:t xml:space="preserve">ulieren van </w:t>
      </w:r>
      <w:proofErr w:type="spellStart"/>
      <w:r>
        <w:rPr>
          <w:rFonts w:asciiTheme="minorHAnsi" w:hAnsiTheme="minorHAnsi" w:cstheme="minorHAnsi"/>
          <w:i/>
          <w:iCs/>
          <w:sz w:val="22"/>
          <w:szCs w:val="22"/>
        </w:rPr>
        <w:t>Taakspel</w:t>
      </w:r>
      <w:proofErr w:type="spellEnd"/>
      <w:r>
        <w:rPr>
          <w:rFonts w:asciiTheme="minorHAnsi" w:hAnsiTheme="minorHAnsi" w:cstheme="minorHAnsi"/>
          <w:i/>
          <w:iCs/>
          <w:sz w:val="22"/>
          <w:szCs w:val="22"/>
        </w:rPr>
        <w:t xml:space="preserve"> zou werken</w:t>
      </w:r>
      <w:r w:rsidRPr="00305EAF">
        <w:rPr>
          <w:rFonts w:asciiTheme="minorHAnsi" w:hAnsiTheme="minorHAnsi" w:cstheme="minorHAnsi"/>
          <w:i/>
          <w:iCs/>
          <w:sz w:val="22"/>
          <w:szCs w:val="22"/>
        </w:rPr>
        <w:t xml:space="preserve"> ‘</w:t>
      </w:r>
    </w:p>
    <w:p w:rsidR="004C63A3" w:rsidRDefault="004C63A3" w:rsidP="004C63A3">
      <w:pPr>
        <w:rPr>
          <w:rFonts w:asciiTheme="minorHAnsi" w:hAnsiTheme="minorHAnsi" w:cstheme="minorHAnsi"/>
          <w:i/>
          <w:iCs/>
          <w:sz w:val="22"/>
          <w:szCs w:val="22"/>
        </w:rPr>
      </w:pPr>
      <w:r w:rsidRPr="00305EAF">
        <w:rPr>
          <w:rFonts w:asciiTheme="minorHAnsi" w:hAnsiTheme="minorHAnsi" w:cstheme="minorHAnsi"/>
          <w:i/>
          <w:iCs/>
          <w:sz w:val="22"/>
          <w:szCs w:val="22"/>
        </w:rPr>
        <w:t xml:space="preserve">‘Het scheelt tijd en drukke kinderen waren goed verdeeld over de groepen.’ </w:t>
      </w:r>
    </w:p>
    <w:p w:rsidR="004C63A3" w:rsidRPr="00305EAF" w:rsidRDefault="004C63A3" w:rsidP="004C63A3">
      <w:pPr>
        <w:rPr>
          <w:rFonts w:asciiTheme="minorHAnsi" w:hAnsiTheme="minorHAnsi" w:cstheme="minorHAnsi"/>
          <w:sz w:val="22"/>
          <w:szCs w:val="22"/>
        </w:rPr>
      </w:pPr>
      <w:r>
        <w:rPr>
          <w:rFonts w:asciiTheme="minorHAnsi" w:hAnsiTheme="minorHAnsi" w:cstheme="minorHAnsi"/>
          <w:i/>
          <w:iCs/>
          <w:sz w:val="22"/>
          <w:szCs w:val="22"/>
        </w:rPr>
        <w:t>‘</w:t>
      </w:r>
      <w:r w:rsidRPr="00305EAF">
        <w:rPr>
          <w:rFonts w:asciiTheme="minorHAnsi" w:hAnsiTheme="minorHAnsi" w:cstheme="minorHAnsi"/>
          <w:i/>
          <w:iCs/>
          <w:sz w:val="22"/>
          <w:szCs w:val="22"/>
        </w:rPr>
        <w:t xml:space="preserve">Er zat best lang tussen invullen SDQ en maken van groepjes. Bij kleuters verandert het gedrag dan nog best </w:t>
      </w:r>
      <w:r>
        <w:rPr>
          <w:rFonts w:asciiTheme="minorHAnsi" w:hAnsiTheme="minorHAnsi" w:cstheme="minorHAnsi"/>
          <w:i/>
          <w:iCs/>
          <w:sz w:val="22"/>
          <w:szCs w:val="22"/>
        </w:rPr>
        <w:t>wel eens in een paar weken tijd.’</w:t>
      </w:r>
      <w:r w:rsidRPr="00305EAF">
        <w:rPr>
          <w:rFonts w:asciiTheme="minorHAnsi" w:hAnsiTheme="minorHAnsi" w:cstheme="minorHAnsi"/>
          <w:i/>
          <w:iCs/>
          <w:sz w:val="22"/>
          <w:szCs w:val="22"/>
        </w:rPr>
        <w:t xml:space="preserve"> </w:t>
      </w:r>
    </w:p>
    <w:p w:rsidR="004C63A3" w:rsidRPr="00305EAF" w:rsidRDefault="004C63A3" w:rsidP="004C63A3">
      <w:pPr>
        <w:rPr>
          <w:rFonts w:asciiTheme="minorHAnsi" w:hAnsiTheme="minorHAnsi" w:cstheme="minorHAnsi"/>
          <w:b/>
          <w:bCs/>
          <w:sz w:val="22"/>
          <w:szCs w:val="22"/>
        </w:rPr>
      </w:pPr>
    </w:p>
    <w:p w:rsidR="004C63A3" w:rsidRPr="00C47A2A" w:rsidRDefault="004C63A3" w:rsidP="004C63A3">
      <w:pPr>
        <w:rPr>
          <w:rFonts w:asciiTheme="minorHAnsi" w:hAnsiTheme="minorHAnsi" w:cstheme="minorHAnsi"/>
          <w:i/>
          <w:sz w:val="22"/>
          <w:szCs w:val="22"/>
        </w:rPr>
      </w:pPr>
      <w:r w:rsidRPr="00C47A2A">
        <w:rPr>
          <w:rFonts w:asciiTheme="minorHAnsi" w:hAnsiTheme="minorHAnsi" w:cstheme="minorHAnsi"/>
          <w:b/>
          <w:bCs/>
          <w:i/>
          <w:sz w:val="22"/>
          <w:szCs w:val="22"/>
        </w:rPr>
        <w:t>Conclusie</w:t>
      </w:r>
    </w:p>
    <w:p w:rsidR="004C63A3" w:rsidRDefault="004C63A3" w:rsidP="004C63A3">
      <w:pPr>
        <w:rPr>
          <w:rFonts w:asciiTheme="minorHAnsi" w:hAnsiTheme="minorHAnsi" w:cstheme="minorHAnsi"/>
          <w:sz w:val="22"/>
          <w:szCs w:val="22"/>
        </w:rPr>
      </w:pPr>
      <w:r w:rsidRPr="00305EAF">
        <w:rPr>
          <w:rFonts w:asciiTheme="minorHAnsi" w:hAnsiTheme="minorHAnsi" w:cstheme="minorHAnsi"/>
          <w:sz w:val="22"/>
          <w:szCs w:val="22"/>
        </w:rPr>
        <w:t xml:space="preserve">Uit de resultaten blijkt dat het mogelijk is om aan de hand van de SDQ </w:t>
      </w:r>
      <w:r>
        <w:rPr>
          <w:rFonts w:asciiTheme="minorHAnsi" w:hAnsiTheme="minorHAnsi" w:cstheme="minorHAnsi"/>
          <w:sz w:val="22"/>
          <w:szCs w:val="22"/>
        </w:rPr>
        <w:t xml:space="preserve">goede </w:t>
      </w:r>
      <w:r w:rsidRPr="00305EAF">
        <w:rPr>
          <w:rFonts w:asciiTheme="minorHAnsi" w:hAnsiTheme="minorHAnsi" w:cstheme="minorHAnsi"/>
          <w:sz w:val="22"/>
          <w:szCs w:val="22"/>
        </w:rPr>
        <w:t>groe</w:t>
      </w:r>
      <w:r>
        <w:rPr>
          <w:rFonts w:asciiTheme="minorHAnsi" w:hAnsiTheme="minorHAnsi" w:cstheme="minorHAnsi"/>
          <w:sz w:val="22"/>
          <w:szCs w:val="22"/>
        </w:rPr>
        <w:t xml:space="preserve">pjes te vormen voor </w:t>
      </w:r>
      <w:proofErr w:type="spellStart"/>
      <w:r>
        <w:rPr>
          <w:rFonts w:asciiTheme="minorHAnsi" w:hAnsiTheme="minorHAnsi" w:cstheme="minorHAnsi"/>
          <w:sz w:val="22"/>
          <w:szCs w:val="22"/>
        </w:rPr>
        <w:t>Taakspel</w:t>
      </w:r>
      <w:proofErr w:type="spellEnd"/>
      <w:r>
        <w:rPr>
          <w:rFonts w:asciiTheme="minorHAnsi" w:hAnsiTheme="minorHAnsi" w:cstheme="minorHAnsi"/>
          <w:sz w:val="22"/>
          <w:szCs w:val="22"/>
        </w:rPr>
        <w:t xml:space="preserve">. </w:t>
      </w:r>
      <w:r w:rsidRPr="00305EAF">
        <w:rPr>
          <w:rFonts w:asciiTheme="minorHAnsi" w:hAnsiTheme="minorHAnsi" w:cstheme="minorHAnsi"/>
          <w:sz w:val="22"/>
          <w:szCs w:val="22"/>
        </w:rPr>
        <w:t xml:space="preserve">De leerkracht kan de kinderen op basis van de hyperactiviteitscore over de groepjes verdelen. Observeren van </w:t>
      </w:r>
      <w:proofErr w:type="spellStart"/>
      <w:r w:rsidRPr="00305EAF">
        <w:rPr>
          <w:rFonts w:asciiTheme="minorHAnsi" w:hAnsiTheme="minorHAnsi" w:cstheme="minorHAnsi"/>
          <w:sz w:val="22"/>
          <w:szCs w:val="22"/>
        </w:rPr>
        <w:t>regelovertredend</w:t>
      </w:r>
      <w:proofErr w:type="spellEnd"/>
      <w:r w:rsidRPr="00305EAF">
        <w:rPr>
          <w:rFonts w:asciiTheme="minorHAnsi" w:hAnsiTheme="minorHAnsi" w:cstheme="minorHAnsi"/>
          <w:sz w:val="22"/>
          <w:szCs w:val="22"/>
        </w:rPr>
        <w:t xml:space="preserve"> gedrag via de Taakspelobservatielijsten blijft nuttig en informatief. Ons advies is da</w:t>
      </w:r>
      <w:r>
        <w:rPr>
          <w:rFonts w:asciiTheme="minorHAnsi" w:hAnsiTheme="minorHAnsi" w:cstheme="minorHAnsi"/>
          <w:sz w:val="22"/>
          <w:szCs w:val="22"/>
        </w:rPr>
        <w:t>n</w:t>
      </w:r>
      <w:r w:rsidRPr="00305EAF">
        <w:rPr>
          <w:rFonts w:asciiTheme="minorHAnsi" w:hAnsiTheme="minorHAnsi" w:cstheme="minorHAnsi"/>
          <w:sz w:val="22"/>
          <w:szCs w:val="22"/>
        </w:rPr>
        <w:t xml:space="preserve"> </w:t>
      </w:r>
      <w:r>
        <w:rPr>
          <w:rFonts w:asciiTheme="minorHAnsi" w:hAnsiTheme="minorHAnsi" w:cstheme="minorHAnsi"/>
          <w:sz w:val="22"/>
          <w:szCs w:val="22"/>
        </w:rPr>
        <w:t xml:space="preserve">ook </w:t>
      </w:r>
      <w:r w:rsidRPr="00305EAF">
        <w:rPr>
          <w:rFonts w:asciiTheme="minorHAnsi" w:hAnsiTheme="minorHAnsi" w:cstheme="minorHAnsi"/>
          <w:sz w:val="22"/>
          <w:szCs w:val="22"/>
        </w:rPr>
        <w:t>om</w:t>
      </w:r>
      <w:r>
        <w:rPr>
          <w:rFonts w:asciiTheme="minorHAnsi" w:hAnsiTheme="minorHAnsi" w:cstheme="minorHAnsi"/>
          <w:sz w:val="22"/>
          <w:szCs w:val="22"/>
        </w:rPr>
        <w:t xml:space="preserve"> dit geregeld te blijven doen, z</w:t>
      </w:r>
      <w:r w:rsidRPr="00305EAF">
        <w:rPr>
          <w:rFonts w:asciiTheme="minorHAnsi" w:hAnsiTheme="minorHAnsi" w:cstheme="minorHAnsi"/>
          <w:sz w:val="22"/>
          <w:szCs w:val="22"/>
        </w:rPr>
        <w:t xml:space="preserve">eker aan het begin van het schooljaar wanneer de leerkracht de groep nog niet zo goed kent. </w:t>
      </w:r>
      <w:r>
        <w:rPr>
          <w:rFonts w:asciiTheme="minorHAnsi" w:hAnsiTheme="minorHAnsi" w:cstheme="minorHAnsi"/>
          <w:sz w:val="22"/>
          <w:szCs w:val="22"/>
        </w:rPr>
        <w:t xml:space="preserve">In schooljaar 2014-2015 geeft de GGD Amsterdam leerkrachten met een Taakspelcertificaat ook de mogelijkheid om groepen te  vormen met de SDQ. De handleiding staat op de website www.hartenzielmonitor.nl.  Deze werkwijze zal geëvalueerd worden. </w:t>
      </w:r>
    </w:p>
    <w:bookmarkEnd w:id="0"/>
    <w:p w:rsidR="004C63A3" w:rsidRDefault="004C63A3" w:rsidP="004C63A3">
      <w:pPr>
        <w:spacing w:line="280" w:lineRule="exact"/>
        <w:jc w:val="center"/>
        <w:rPr>
          <w:rFonts w:ascii="Arial" w:hAnsi="Arial" w:cs="Arial"/>
          <w:b/>
          <w:sz w:val="48"/>
          <w:szCs w:val="48"/>
        </w:rPr>
      </w:pPr>
    </w:p>
    <w:p w:rsidR="004C63A3" w:rsidRDefault="004C63A3" w:rsidP="004C63A3">
      <w:pPr>
        <w:spacing w:line="280" w:lineRule="exact"/>
        <w:rPr>
          <w:rFonts w:ascii="Arial" w:hAnsi="Arial" w:cs="Arial"/>
          <w:b/>
          <w:sz w:val="48"/>
          <w:szCs w:val="48"/>
        </w:rPr>
      </w:pPr>
    </w:p>
    <w:p w:rsidR="007047E3" w:rsidRDefault="004C63A3" w:rsidP="004C63A3">
      <w:pPr>
        <w:jc w:val="center"/>
      </w:pPr>
      <w:r>
        <w:rPr>
          <w:rFonts w:ascii="Arial" w:hAnsi="Arial" w:cs="Arial"/>
          <w:noProof/>
          <w:sz w:val="20"/>
          <w:szCs w:val="20"/>
        </w:rPr>
        <w:drawing>
          <wp:inline distT="0" distB="0" distL="0" distR="0">
            <wp:extent cx="2857500" cy="1981200"/>
            <wp:effectExtent l="0" t="0" r="0" b="0"/>
            <wp:docPr id="2" name="Afbeelding 2" descr="http://ts1.mm.bing.net/th?&amp;id=HN.60800510986302279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5109863022799&amp;w=300&amp;h=300&amp;c=0&amp;pid=1.9&amp;rs=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sectPr w:rsidR="007047E3" w:rsidSect="007A10FB">
      <w:footerReference w:type="default" r:id="rId8"/>
      <w:pgSz w:w="11906" w:h="16838"/>
      <w:pgMar w:top="1440"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7E" w:rsidRPr="00BB59F0" w:rsidRDefault="002A6DBD" w:rsidP="00BB59F0">
    <w:pPr>
      <w:pStyle w:val="Koptekst"/>
      <w:tabs>
        <w:tab w:val="clear" w:pos="8306"/>
        <w:tab w:val="right" w:pos="9000"/>
      </w:tabs>
      <w:rPr>
        <w:rFonts w:ascii="Corbel" w:hAnsi="Corbel"/>
        <w:sz w:val="18"/>
        <w:szCs w:val="18"/>
      </w:rPr>
    </w:pPr>
    <w:r>
      <w:rPr>
        <w:rStyle w:val="Paginanummer"/>
        <w:rFonts w:ascii="Corbel" w:hAnsi="Corbel"/>
        <w:sz w:val="18"/>
        <w:szCs w:val="18"/>
      </w:rPr>
      <w:tab/>
    </w:r>
    <w:r w:rsidRPr="00BB59F0">
      <w:rPr>
        <w:rStyle w:val="Paginanummer"/>
        <w:rFonts w:ascii="Corbel" w:hAnsi="Corbel"/>
        <w:sz w:val="18"/>
        <w:szCs w:val="18"/>
      </w:rPr>
      <w:fldChar w:fldCharType="begin"/>
    </w:r>
    <w:r w:rsidRPr="00BB59F0">
      <w:rPr>
        <w:rStyle w:val="Paginanummer"/>
        <w:rFonts w:ascii="Corbel" w:hAnsi="Corbel"/>
        <w:sz w:val="18"/>
        <w:szCs w:val="18"/>
      </w:rPr>
      <w:instrText xml:space="preserve"> PAGE </w:instrText>
    </w:r>
    <w:r w:rsidRPr="00BB59F0">
      <w:rPr>
        <w:rStyle w:val="Paginanummer"/>
        <w:rFonts w:ascii="Corbel" w:hAnsi="Corbel"/>
        <w:sz w:val="18"/>
        <w:szCs w:val="18"/>
      </w:rPr>
      <w:fldChar w:fldCharType="separate"/>
    </w:r>
    <w:r w:rsidR="00CE65DC">
      <w:rPr>
        <w:rStyle w:val="Paginanummer"/>
        <w:rFonts w:ascii="Corbel" w:hAnsi="Corbel"/>
        <w:noProof/>
        <w:sz w:val="18"/>
        <w:szCs w:val="18"/>
      </w:rPr>
      <w:t>1</w:t>
    </w:r>
    <w:r w:rsidRPr="00BB59F0">
      <w:rPr>
        <w:rStyle w:val="Paginanummer"/>
        <w:rFonts w:ascii="Corbel" w:hAnsi="Corbel"/>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25EB"/>
    <w:multiLevelType w:val="hybridMultilevel"/>
    <w:tmpl w:val="BC6AC63A"/>
    <w:lvl w:ilvl="0" w:tplc="3E688FF2">
      <w:start w:val="1"/>
      <w:numFmt w:val="decimal"/>
      <w:lvlText w:val="%1."/>
      <w:lvlJc w:val="left"/>
      <w:pPr>
        <w:ind w:left="720" w:hanging="360"/>
      </w:pPr>
      <w:rPr>
        <w:rFonts w:asciiTheme="minorHAnsi" w:eastAsia="Times New Roman" w:hAnsiTheme="minorHAnsi" w:cstheme="minorHAns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A3"/>
    <w:rsid w:val="004C63A3"/>
    <w:rsid w:val="007047E3"/>
    <w:rsid w:val="00A80D1E"/>
    <w:rsid w:val="00CE6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63A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A80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0D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0D1E"/>
    <w:pPr>
      <w:spacing w:after="0" w:line="240" w:lineRule="auto"/>
    </w:pPr>
  </w:style>
  <w:style w:type="character" w:customStyle="1" w:styleId="Kop1Char">
    <w:name w:val="Kop 1 Char"/>
    <w:basedOn w:val="Standaardalinea-lettertype"/>
    <w:link w:val="Kop1"/>
    <w:uiPriority w:val="9"/>
    <w:rsid w:val="00A80D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80D1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rsid w:val="004C63A3"/>
    <w:pPr>
      <w:tabs>
        <w:tab w:val="center" w:pos="4153"/>
        <w:tab w:val="right" w:pos="8306"/>
      </w:tabs>
    </w:pPr>
  </w:style>
  <w:style w:type="character" w:customStyle="1" w:styleId="KoptekstChar">
    <w:name w:val="Koptekst Char"/>
    <w:basedOn w:val="Standaardalinea-lettertype"/>
    <w:link w:val="Koptekst"/>
    <w:rsid w:val="004C63A3"/>
    <w:rPr>
      <w:rFonts w:ascii="Times New Roman" w:eastAsia="Times New Roman" w:hAnsi="Times New Roman" w:cs="Times New Roman"/>
      <w:sz w:val="24"/>
      <w:szCs w:val="24"/>
      <w:lang w:eastAsia="nl-NL"/>
    </w:rPr>
  </w:style>
  <w:style w:type="character" w:styleId="Paginanummer">
    <w:name w:val="page number"/>
    <w:basedOn w:val="Standaardalinea-lettertype"/>
    <w:rsid w:val="004C63A3"/>
  </w:style>
  <w:style w:type="paragraph" w:styleId="Lijstalinea">
    <w:name w:val="List Paragraph"/>
    <w:basedOn w:val="Standaard"/>
    <w:uiPriority w:val="34"/>
    <w:qFormat/>
    <w:rsid w:val="004C63A3"/>
    <w:pPr>
      <w:ind w:left="720"/>
      <w:contextualSpacing/>
    </w:pPr>
  </w:style>
  <w:style w:type="paragraph" w:styleId="Ballontekst">
    <w:name w:val="Balloon Text"/>
    <w:basedOn w:val="Standaard"/>
    <w:link w:val="BallontekstChar"/>
    <w:uiPriority w:val="99"/>
    <w:semiHidden/>
    <w:unhideWhenUsed/>
    <w:rsid w:val="004C63A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3A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63A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A80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0D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0D1E"/>
    <w:pPr>
      <w:spacing w:after="0" w:line="240" w:lineRule="auto"/>
    </w:pPr>
  </w:style>
  <w:style w:type="character" w:customStyle="1" w:styleId="Kop1Char">
    <w:name w:val="Kop 1 Char"/>
    <w:basedOn w:val="Standaardalinea-lettertype"/>
    <w:link w:val="Kop1"/>
    <w:uiPriority w:val="9"/>
    <w:rsid w:val="00A80D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80D1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rsid w:val="004C63A3"/>
    <w:pPr>
      <w:tabs>
        <w:tab w:val="center" w:pos="4153"/>
        <w:tab w:val="right" w:pos="8306"/>
      </w:tabs>
    </w:pPr>
  </w:style>
  <w:style w:type="character" w:customStyle="1" w:styleId="KoptekstChar">
    <w:name w:val="Koptekst Char"/>
    <w:basedOn w:val="Standaardalinea-lettertype"/>
    <w:link w:val="Koptekst"/>
    <w:rsid w:val="004C63A3"/>
    <w:rPr>
      <w:rFonts w:ascii="Times New Roman" w:eastAsia="Times New Roman" w:hAnsi="Times New Roman" w:cs="Times New Roman"/>
      <w:sz w:val="24"/>
      <w:szCs w:val="24"/>
      <w:lang w:eastAsia="nl-NL"/>
    </w:rPr>
  </w:style>
  <w:style w:type="character" w:styleId="Paginanummer">
    <w:name w:val="page number"/>
    <w:basedOn w:val="Standaardalinea-lettertype"/>
    <w:rsid w:val="004C63A3"/>
  </w:style>
  <w:style w:type="paragraph" w:styleId="Lijstalinea">
    <w:name w:val="List Paragraph"/>
    <w:basedOn w:val="Standaard"/>
    <w:uiPriority w:val="34"/>
    <w:qFormat/>
    <w:rsid w:val="004C63A3"/>
    <w:pPr>
      <w:ind w:left="720"/>
      <w:contextualSpacing/>
    </w:pPr>
  </w:style>
  <w:style w:type="paragraph" w:styleId="Ballontekst">
    <w:name w:val="Balloon Text"/>
    <w:basedOn w:val="Standaard"/>
    <w:link w:val="BallontekstChar"/>
    <w:uiPriority w:val="99"/>
    <w:semiHidden/>
    <w:unhideWhenUsed/>
    <w:rsid w:val="004C63A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3A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Knopperts, Thera</dc:creator>
  <cp:lastModifiedBy>Knopperts, Thera</cp:lastModifiedBy>
  <cp:revision>1</cp:revision>
  <dcterms:created xsi:type="dcterms:W3CDTF">2014-10-13T06:14:00Z</dcterms:created>
  <dcterms:modified xsi:type="dcterms:W3CDTF">2014-10-13T06:17:00Z</dcterms:modified>
</cp:coreProperties>
</file>